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3D" w:rsidRDefault="00E44412">
      <w:pPr>
        <w:pStyle w:val="BodyText"/>
        <w:ind w:left="400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781861" cy="11505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61" cy="115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93D" w:rsidRDefault="00E44412">
      <w:pPr>
        <w:pStyle w:val="Title"/>
        <w:numPr>
          <w:ilvl w:val="2"/>
          <w:numId w:val="1"/>
        </w:numPr>
        <w:tabs>
          <w:tab w:val="left" w:pos="703"/>
        </w:tabs>
        <w:ind w:firstLine="0"/>
      </w:pPr>
      <w:r>
        <w:t>Institution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consultancy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revenue</w:t>
      </w:r>
      <w:r>
        <w:rPr>
          <w:spacing w:val="6"/>
        </w:rPr>
        <w:t xml:space="preserve"> </w:t>
      </w:r>
      <w:r>
        <w:t>sharing</w:t>
      </w:r>
      <w:r>
        <w:rPr>
          <w:spacing w:val="6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 and</w:t>
      </w:r>
      <w:r>
        <w:rPr>
          <w:spacing w:val="-1"/>
        </w:rPr>
        <w:t xml:space="preserve"> </w:t>
      </w:r>
      <w:r>
        <w:t>encourages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undertake consultancy.</w:t>
      </w:r>
    </w:p>
    <w:p w:rsidR="0003193D" w:rsidRDefault="0003193D">
      <w:pPr>
        <w:pStyle w:val="BodyText"/>
        <w:spacing w:before="1"/>
        <w:ind w:left="0"/>
        <w:rPr>
          <w:b/>
          <w:i/>
          <w:sz w:val="25"/>
        </w:rPr>
      </w:pPr>
    </w:p>
    <w:p w:rsidR="0003193D" w:rsidRDefault="00E44412">
      <w:pPr>
        <w:pStyle w:val="BodyText"/>
        <w:ind w:left="100" w:right="114"/>
        <w:jc w:val="both"/>
      </w:pPr>
      <w:r>
        <w:t>The University has a well-articulated consultancy policy with established 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revenue sharing. With this, the University encourages and promotes the flow of knowledge</w:t>
      </w:r>
      <w:r>
        <w:rPr>
          <w:spacing w:val="1"/>
        </w:rPr>
        <w:t xml:space="preserve"> </w:t>
      </w:r>
      <w:r>
        <w:t>and expertise to and from businesses. This contributes to the development of growing and</w:t>
      </w:r>
      <w:r>
        <w:rPr>
          <w:spacing w:val="1"/>
        </w:rPr>
        <w:t xml:space="preserve"> </w:t>
      </w:r>
      <w:r>
        <w:t>productive</w:t>
      </w:r>
      <w:r>
        <w:rPr>
          <w:spacing w:val="-2"/>
        </w:rPr>
        <w:t xml:space="preserve"> </w:t>
      </w:r>
      <w:r>
        <w:t>relationships ensuring</w:t>
      </w:r>
      <w:r>
        <w:rPr>
          <w:spacing w:val="-3"/>
        </w:rPr>
        <w:t xml:space="preserve"> </w:t>
      </w:r>
      <w:r>
        <w:t>that benefits accrue</w:t>
      </w:r>
      <w:r>
        <w:rPr>
          <w:spacing w:val="-2"/>
        </w:rPr>
        <w:t xml:space="preserve"> </w:t>
      </w:r>
      <w:r>
        <w:t>to all stakeholders.</w:t>
      </w:r>
    </w:p>
    <w:p w:rsidR="0003193D" w:rsidRDefault="0003193D">
      <w:pPr>
        <w:pStyle w:val="BodyText"/>
        <w:spacing w:before="1"/>
        <w:ind w:left="0"/>
      </w:pPr>
    </w:p>
    <w:p w:rsidR="0003193D" w:rsidRDefault="00E44412">
      <w:pPr>
        <w:pStyle w:val="BodyText"/>
        <w:ind w:left="100" w:right="113"/>
        <w:jc w:val="both"/>
      </w:pPr>
      <w:r>
        <w:t>C</w:t>
      </w:r>
      <w:r>
        <w:t>onsultancy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teaching,</w:t>
      </w:r>
      <w:r>
        <w:rPr>
          <w:spacing w:val="1"/>
        </w:rPr>
        <w:t xml:space="preserve"> </w:t>
      </w:r>
      <w:r>
        <w:t>mentoring, professional development, research and other academic activities; consultancy is</w:t>
      </w:r>
      <w:r>
        <w:rPr>
          <w:spacing w:val="1"/>
        </w:rPr>
        <w:t xml:space="preserve"> </w:t>
      </w:r>
      <w:r>
        <w:t>therefore to be undertaken in a manner consistent with the contractual responsibilities of the</w:t>
      </w:r>
      <w:r>
        <w:rPr>
          <w:spacing w:val="1"/>
        </w:rPr>
        <w:t xml:space="preserve"> </w:t>
      </w:r>
      <w:r>
        <w:t>faculties. The primary objective however is to provide quality services to meet the needs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risks.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</w:t>
      </w:r>
      <w:r>
        <w:t>lty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undertake</w:t>
      </w:r>
      <w:r>
        <w:rPr>
          <w:spacing w:val="1"/>
        </w:rPr>
        <w:t xml:space="preserve"> </w:t>
      </w:r>
      <w:proofErr w:type="spellStart"/>
      <w:r>
        <w:t>upto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consultancy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t>HoD</w:t>
      </w:r>
      <w:proofErr w:type="spellEnd"/>
      <w:r>
        <w:t>/ Dean/</w:t>
      </w:r>
      <w:r>
        <w:rPr>
          <w:spacing w:val="2"/>
        </w:rPr>
        <w:t xml:space="preserve"> </w:t>
      </w:r>
      <w:r>
        <w:t>Pro-VC/ VC.</w:t>
      </w:r>
    </w:p>
    <w:p w:rsidR="0003193D" w:rsidRDefault="0003193D">
      <w:pPr>
        <w:pStyle w:val="BodyText"/>
        <w:ind w:left="0"/>
      </w:pPr>
    </w:p>
    <w:p w:rsidR="0003193D" w:rsidRDefault="00E44412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hopes</w:t>
      </w:r>
      <w:r>
        <w:rPr>
          <w:spacing w:val="-1"/>
        </w:rPr>
        <w:t xml:space="preserve"> </w:t>
      </w:r>
      <w:r>
        <w:t>to accrue</w:t>
      </w:r>
      <w:r>
        <w:rPr>
          <w:spacing w:val="-3"/>
        </w:rPr>
        <w:t xml:space="preserve"> </w:t>
      </w:r>
      <w:r>
        <w:t>from successful</w:t>
      </w:r>
      <w:r>
        <w:rPr>
          <w:spacing w:val="-1"/>
        </w:rPr>
        <w:t xml:space="preserve"> </w:t>
      </w:r>
      <w:r>
        <w:t>consultancies are:</w:t>
      </w:r>
    </w:p>
    <w:p w:rsidR="0003193D" w:rsidRDefault="00E44412">
      <w:pPr>
        <w:pStyle w:val="ListParagraph"/>
        <w:numPr>
          <w:ilvl w:val="3"/>
          <w:numId w:val="1"/>
        </w:numPr>
        <w:tabs>
          <w:tab w:val="left" w:pos="1180"/>
          <w:tab w:val="left" w:pos="1181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development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useful</w:t>
      </w:r>
      <w:r>
        <w:rPr>
          <w:spacing w:val="10"/>
          <w:sz w:val="24"/>
        </w:rPr>
        <w:t xml:space="preserve"> </w:t>
      </w:r>
      <w:r>
        <w:rPr>
          <w:sz w:val="24"/>
        </w:rPr>
        <w:t>business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academic</w:t>
      </w:r>
      <w:r>
        <w:rPr>
          <w:spacing w:val="9"/>
          <w:sz w:val="24"/>
        </w:rPr>
        <w:t xml:space="preserve"> </w:t>
      </w:r>
      <w:r>
        <w:rPr>
          <w:sz w:val="24"/>
        </w:rPr>
        <w:t>collaborations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contacts;</w:t>
      </w:r>
      <w:r>
        <w:rPr>
          <w:spacing w:val="16"/>
          <w:sz w:val="24"/>
        </w:rPr>
        <w:t xml:space="preserve"> </w:t>
      </w:r>
      <w:r>
        <w:rPr>
          <w:sz w:val="24"/>
        </w:rPr>
        <w:t>adding</w:t>
      </w:r>
      <w:r>
        <w:rPr>
          <w:spacing w:val="-57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Industry-Academia symbiosis.</w:t>
      </w:r>
    </w:p>
    <w:p w:rsidR="0003193D" w:rsidRDefault="00E44412">
      <w:pPr>
        <w:pStyle w:val="ListParagraph"/>
        <w:numPr>
          <w:ilvl w:val="3"/>
          <w:numId w:val="1"/>
        </w:numPr>
        <w:tabs>
          <w:tab w:val="left" w:pos="1180"/>
          <w:tab w:val="left" w:pos="1181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extension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knowledge</w:t>
      </w:r>
      <w:r>
        <w:rPr>
          <w:spacing w:val="29"/>
          <w:sz w:val="24"/>
        </w:rPr>
        <w:t xml:space="preserve"> </w:t>
      </w:r>
      <w:r>
        <w:rPr>
          <w:sz w:val="24"/>
        </w:rPr>
        <w:t>base,</w:t>
      </w:r>
      <w:r>
        <w:rPr>
          <w:spacing w:val="30"/>
          <w:sz w:val="24"/>
        </w:rPr>
        <w:t xml:space="preserve"> </w:t>
      </w:r>
      <w:r>
        <w:rPr>
          <w:sz w:val="24"/>
        </w:rPr>
        <w:t>thereby</w:t>
      </w:r>
      <w:r>
        <w:rPr>
          <w:spacing w:val="26"/>
          <w:sz w:val="24"/>
        </w:rPr>
        <w:t xml:space="preserve"> </w:t>
      </w:r>
      <w:r>
        <w:rPr>
          <w:sz w:val="24"/>
        </w:rPr>
        <w:t>augmenting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teaching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learning</w:t>
      </w:r>
      <w:r>
        <w:rPr>
          <w:spacing w:val="-57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 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 research</w:t>
      </w:r>
      <w:r>
        <w:rPr>
          <w:spacing w:val="1"/>
          <w:sz w:val="24"/>
        </w:rPr>
        <w:t xml:space="preserve"> </w:t>
      </w:r>
      <w:r>
        <w:rPr>
          <w:sz w:val="24"/>
        </w:rPr>
        <w:t>faculty/ staff;</w:t>
      </w:r>
    </w:p>
    <w:p w:rsidR="0003193D" w:rsidRDefault="00E44412">
      <w:pPr>
        <w:pStyle w:val="ListParagraph"/>
        <w:numPr>
          <w:ilvl w:val="3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increased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stimulus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enric</w:t>
      </w:r>
      <w:r>
        <w:rPr>
          <w:sz w:val="24"/>
        </w:rPr>
        <w:t>hing</w:t>
      </w:r>
      <w:r>
        <w:rPr>
          <w:spacing w:val="-4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activity;</w:t>
      </w:r>
    </w:p>
    <w:p w:rsidR="0003193D" w:rsidRPr="00E44412" w:rsidRDefault="00E44412" w:rsidP="00E44412">
      <w:pPr>
        <w:pStyle w:val="ListParagraph"/>
        <w:numPr>
          <w:ilvl w:val="3"/>
          <w:numId w:val="1"/>
        </w:numPr>
        <w:tabs>
          <w:tab w:val="left" w:pos="1181"/>
        </w:tabs>
        <w:spacing w:line="237" w:lineRule="auto"/>
        <w:ind w:right="122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evelopment of possible opportunities for future partnerships such as 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internships,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IPR, spin-off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ventures;</w:t>
      </w:r>
    </w:p>
    <w:p w:rsidR="0003193D" w:rsidRDefault="00E44412">
      <w:pPr>
        <w:pStyle w:val="ListParagraph"/>
        <w:numPr>
          <w:ilvl w:val="3"/>
          <w:numId w:val="1"/>
        </w:numPr>
        <w:tabs>
          <w:tab w:val="left" w:pos="1181"/>
        </w:tabs>
        <w:spacing w:line="237" w:lineRule="auto"/>
        <w:ind w:right="120"/>
        <w:jc w:val="both"/>
        <w:rPr>
          <w:sz w:val="24"/>
        </w:rPr>
      </w:pPr>
      <w:r>
        <w:rPr>
          <w:sz w:val="24"/>
        </w:rPr>
        <w:t>F</w:t>
      </w:r>
      <w:r>
        <w:rPr>
          <w:sz w:val="24"/>
        </w:rPr>
        <w:t>inancial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income.</w:t>
      </w:r>
    </w:p>
    <w:p w:rsidR="00E44412" w:rsidRDefault="00E44412" w:rsidP="00E44412">
      <w:pPr>
        <w:pStyle w:val="BodyText"/>
        <w:ind w:left="100" w:right="121"/>
        <w:jc w:val="both"/>
      </w:pPr>
    </w:p>
    <w:p w:rsidR="00E44412" w:rsidRDefault="00E44412" w:rsidP="00E44412">
      <w:pPr>
        <w:pStyle w:val="BodyText"/>
        <w:ind w:left="100" w:right="121"/>
        <w:jc w:val="both"/>
      </w:pPr>
      <w:bookmarkStart w:id="0" w:name="_GoBack"/>
      <w:bookmarkEnd w:id="0"/>
      <w:r>
        <w:t xml:space="preserve">The </w:t>
      </w:r>
      <w:r>
        <w:rPr>
          <w:color w:val="0462C1"/>
          <w:u w:val="single" w:color="0462C1"/>
        </w:rPr>
        <w:t>Consultancy Policy</w:t>
      </w:r>
      <w:r>
        <w:rPr>
          <w:color w:val="0462C1"/>
        </w:rPr>
        <w:t xml:space="preserve"> </w:t>
      </w:r>
      <w:r>
        <w:t>of the University aims to encourage faculty to undertake research</w:t>
      </w:r>
      <w:r>
        <w:rPr>
          <w:spacing w:val="1"/>
        </w:rPr>
        <w:t xml:space="preserve"> </w:t>
      </w:r>
      <w:r>
        <w:t>consultancies, professional service provision, design, prototyping and commercialization of</w:t>
      </w:r>
      <w:r>
        <w:rPr>
          <w:spacing w:val="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and development of intellectual property</w:t>
      </w:r>
      <w:r>
        <w:rPr>
          <w:spacing w:val="-3"/>
        </w:rPr>
        <w:t xml:space="preserve"> </w:t>
      </w:r>
      <w:r>
        <w:t>rights.</w:t>
      </w:r>
    </w:p>
    <w:p w:rsidR="00E44412" w:rsidRDefault="00E44412" w:rsidP="00E44412">
      <w:pPr>
        <w:pStyle w:val="ListParagraph"/>
        <w:tabs>
          <w:tab w:val="left" w:pos="1181"/>
        </w:tabs>
        <w:spacing w:line="237" w:lineRule="auto"/>
        <w:ind w:left="100" w:right="120" w:firstLine="0"/>
        <w:rPr>
          <w:sz w:val="24"/>
        </w:rPr>
      </w:pPr>
    </w:p>
    <w:p w:rsidR="00E44412" w:rsidRDefault="00E44412">
      <w:pPr>
        <w:pStyle w:val="BodyText"/>
        <w:ind w:left="100" w:right="114"/>
        <w:jc w:val="both"/>
      </w:pPr>
    </w:p>
    <w:p w:rsidR="0003193D" w:rsidRDefault="0003193D">
      <w:pPr>
        <w:sectPr w:rsidR="0003193D">
          <w:type w:val="continuous"/>
          <w:pgSz w:w="11900" w:h="16850"/>
          <w:pgMar w:top="1440" w:right="1320" w:bottom="280" w:left="1340" w:header="720" w:footer="720" w:gutter="0"/>
          <w:cols w:space="720"/>
        </w:sectPr>
      </w:pPr>
    </w:p>
    <w:p w:rsidR="0003193D" w:rsidRDefault="0003193D">
      <w:pPr>
        <w:pStyle w:val="BodyText"/>
        <w:ind w:left="0"/>
      </w:pPr>
    </w:p>
    <w:sectPr w:rsidR="0003193D">
      <w:pgSz w:w="11900" w:h="1685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225"/>
    <w:multiLevelType w:val="multilevel"/>
    <w:tmpl w:val="CEC29168"/>
    <w:lvl w:ilvl="0">
      <w:start w:val="3"/>
      <w:numFmt w:val="decimal"/>
      <w:lvlText w:val="%1"/>
      <w:lvlJc w:val="left"/>
      <w:pPr>
        <w:ind w:left="100" w:hanging="603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0" w:hanging="60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6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3D"/>
    <w:rsid w:val="0003193D"/>
    <w:rsid w:val="00E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9DB7"/>
  <w15:docId w15:val="{A29E445C-D422-4E7F-9C4F-8A25111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"/>
      <w:ind w:left="100" w:right="124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CUTM</cp:lastModifiedBy>
  <cp:revision>2</cp:revision>
  <dcterms:created xsi:type="dcterms:W3CDTF">2024-05-04T11:06:00Z</dcterms:created>
  <dcterms:modified xsi:type="dcterms:W3CDTF">2024-05-04T11:06:00Z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2024-05-04T00:00:00Z</vt:filetime>
  </property>
</Properties>
</file>